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999"/>
        <w:gridCol w:w="6073"/>
      </w:tblGrid>
      <w:tr w:rsidR="00C008BA" w:rsidRPr="001003CB" w14:paraId="79AE54B4" w14:textId="77777777" w:rsidTr="008569C4">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16300018" w14:textId="77777777" w:rsidR="00C008BA" w:rsidRPr="001003CB" w:rsidRDefault="00C008BA" w:rsidP="00C008BA">
            <w:pPr>
              <w:rPr>
                <w:rFonts w:ascii="Arial" w:hAnsi="Arial" w:cs="Arial"/>
              </w:rPr>
            </w:pP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7624B95D" w:rsidR="00C008BA" w:rsidRPr="001003CB" w:rsidRDefault="007A77B2" w:rsidP="00253CD6">
            <w:pPr>
              <w:jc w:val="both"/>
              <w:rPr>
                <w:rFonts w:ascii="Arial" w:hAnsi="Arial" w:cs="Arial"/>
              </w:rPr>
            </w:pPr>
            <w:r>
              <w:rPr>
                <w:rFonts w:ascii="Arial" w:hAnsi="Arial" w:cs="Arial"/>
              </w:rPr>
              <w:t xml:space="preserve">CREATION DE LA COMMISSION </w:t>
            </w:r>
            <w:r w:rsidR="00253CD6">
              <w:rPr>
                <w:rFonts w:ascii="Arial" w:hAnsi="Arial" w:cs="Arial"/>
              </w:rPr>
              <w:t>D</w:t>
            </w:r>
            <w:r w:rsidR="008A4A99">
              <w:rPr>
                <w:rFonts w:ascii="Arial" w:hAnsi="Arial" w:cs="Arial"/>
              </w:rPr>
              <w:t>’ACCESSIBILITE</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2527582B"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7C1434">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743AF6D1" w14:textId="77EB96F8" w:rsidR="007A77B2" w:rsidRDefault="00C008BA" w:rsidP="007A77B2">
      <w:pPr>
        <w:pStyle w:val="Sansinterligne"/>
        <w:rPr>
          <w:rFonts w:ascii="Arial" w:hAnsi="Arial" w:cs="Arial"/>
        </w:rPr>
      </w:pPr>
      <w:r w:rsidRPr="00C008BA">
        <w:br/>
      </w:r>
      <w:r w:rsidR="007A77B2" w:rsidRPr="007A77B2">
        <w:rPr>
          <w:rFonts w:ascii="Arial" w:hAnsi="Arial" w:cs="Arial"/>
        </w:rPr>
        <w:t>Vu l</w:t>
      </w:r>
      <w:r w:rsidR="007A77B2">
        <w:rPr>
          <w:rFonts w:ascii="Arial" w:hAnsi="Arial" w:cs="Arial"/>
        </w:rPr>
        <w:t>e Code général des collectivités territoriales et notamment l</w:t>
      </w:r>
      <w:r w:rsidR="00253CD6">
        <w:rPr>
          <w:rFonts w:ascii="Arial" w:hAnsi="Arial" w:cs="Arial"/>
        </w:rPr>
        <w:t>’</w:t>
      </w:r>
      <w:r w:rsidR="007A77B2">
        <w:rPr>
          <w:rFonts w:ascii="Arial" w:hAnsi="Arial" w:cs="Arial"/>
        </w:rPr>
        <w:t>article</w:t>
      </w:r>
      <w:r w:rsidR="00253CD6">
        <w:rPr>
          <w:rFonts w:ascii="Arial" w:hAnsi="Arial" w:cs="Arial"/>
        </w:rPr>
        <w:t xml:space="preserve"> </w:t>
      </w:r>
      <w:r w:rsidR="008A4A99">
        <w:rPr>
          <w:rFonts w:ascii="Arial" w:hAnsi="Arial" w:cs="Arial"/>
        </w:rPr>
        <w:t>L2143-3</w:t>
      </w:r>
      <w:r w:rsidR="007A77B2">
        <w:rPr>
          <w:rFonts w:ascii="Arial" w:hAnsi="Arial" w:cs="Arial"/>
        </w:rPr>
        <w:t> ;</w:t>
      </w:r>
    </w:p>
    <w:p w14:paraId="6FE2027B" w14:textId="77777777" w:rsidR="007A77B2" w:rsidRDefault="007A77B2" w:rsidP="007A77B2">
      <w:pPr>
        <w:pStyle w:val="Sansinterligne"/>
        <w:rPr>
          <w:rFonts w:ascii="Arial" w:hAnsi="Arial" w:cs="Arial"/>
        </w:rPr>
      </w:pPr>
    </w:p>
    <w:p w14:paraId="63697075" w14:textId="77777777" w:rsidR="008A4A99" w:rsidRDefault="008A4A99" w:rsidP="008A4A99">
      <w:pPr>
        <w:pStyle w:val="Sansinterligne"/>
        <w:jc w:val="both"/>
        <w:rPr>
          <w:rFonts w:ascii="Arial" w:hAnsi="Arial" w:cs="Arial"/>
        </w:rPr>
      </w:pPr>
      <w:r w:rsidRPr="008A4A99">
        <w:rPr>
          <w:rFonts w:ascii="Arial" w:hAnsi="Arial" w:cs="Arial"/>
        </w:rPr>
        <w:t>Dans les communes de 5 000 habitants et plus, il est créé une commission communale pour l'accessibilité composée notamment des représentants de la commune, d'associations ou organismes représentant les personnes handicapées pour tous les types de handicap, notamment physique, sensoriel, cognitif, mental ou psychique, d'associations ou organismes représentant les personnes âgées, de représentants des acteurs économiques ainsi que de représentants d'autres usagers de la ville.</w:t>
      </w:r>
    </w:p>
    <w:p w14:paraId="59C8D490" w14:textId="77777777" w:rsidR="008A4A99" w:rsidRPr="008A4A99" w:rsidRDefault="008A4A99" w:rsidP="008A4A99">
      <w:pPr>
        <w:pStyle w:val="Sansinterligne"/>
        <w:jc w:val="both"/>
        <w:rPr>
          <w:rFonts w:ascii="Arial" w:hAnsi="Arial" w:cs="Arial"/>
        </w:rPr>
      </w:pPr>
    </w:p>
    <w:p w14:paraId="26ED0E61" w14:textId="77777777" w:rsidR="008A4A99" w:rsidRDefault="008A4A99" w:rsidP="008A4A99">
      <w:pPr>
        <w:pStyle w:val="Sansinterligne"/>
        <w:jc w:val="both"/>
        <w:rPr>
          <w:rFonts w:ascii="Arial" w:hAnsi="Arial" w:cs="Arial"/>
        </w:rPr>
      </w:pPr>
      <w:r w:rsidRPr="008A4A99">
        <w:rPr>
          <w:rFonts w:ascii="Arial" w:hAnsi="Arial" w:cs="Arial"/>
        </w:rPr>
        <w:t>Cette commission dresse le constat de l'état d'accessibilité du cadre bâti existant, de la voirie, des espaces publics et des transports. Elle détaille l'accessibilité aux personnes handicapées ou à mobilité réduite, en fonction du type de handicap, des principaux itinéraires et cheminements dans un rayon de deux cents mètres autour des points d'arrêt prioritaires au sens de l'article L. 1112-1 du code des transports.</w:t>
      </w:r>
    </w:p>
    <w:p w14:paraId="060615AA" w14:textId="77777777" w:rsidR="008A4A99" w:rsidRDefault="008A4A99" w:rsidP="008A4A99">
      <w:pPr>
        <w:pStyle w:val="Sansinterligne"/>
        <w:jc w:val="both"/>
        <w:rPr>
          <w:rFonts w:ascii="Arial" w:hAnsi="Arial" w:cs="Arial"/>
        </w:rPr>
      </w:pPr>
    </w:p>
    <w:p w14:paraId="5F0C345C" w14:textId="6F4D5D6D" w:rsidR="008A4A99" w:rsidRDefault="008A4A99" w:rsidP="008A4A99">
      <w:pPr>
        <w:pStyle w:val="Sansinterligne"/>
        <w:jc w:val="both"/>
        <w:rPr>
          <w:rFonts w:ascii="Arial" w:hAnsi="Arial" w:cs="Arial"/>
        </w:rPr>
      </w:pPr>
      <w:r w:rsidRPr="008A4A99">
        <w:rPr>
          <w:rFonts w:ascii="Arial" w:hAnsi="Arial" w:cs="Arial"/>
        </w:rPr>
        <w:t>Elle établit un rapport annuel présenté en conseil municipal et fait toutes propositions utiles de nature à améliorer la mise en accessibilité de l'existant.</w:t>
      </w:r>
    </w:p>
    <w:p w14:paraId="0625E549" w14:textId="77777777" w:rsidR="008A4A99" w:rsidRPr="008A4A99" w:rsidRDefault="008A4A99" w:rsidP="008A4A99">
      <w:pPr>
        <w:pStyle w:val="Sansinterligne"/>
        <w:jc w:val="both"/>
        <w:rPr>
          <w:rFonts w:ascii="Arial" w:hAnsi="Arial" w:cs="Arial"/>
        </w:rPr>
      </w:pPr>
    </w:p>
    <w:p w14:paraId="724190ED" w14:textId="58AE9FEA" w:rsidR="008A4A99" w:rsidRDefault="008A4A99" w:rsidP="008A4A99">
      <w:pPr>
        <w:pStyle w:val="Sansinterligne"/>
        <w:jc w:val="both"/>
        <w:rPr>
          <w:rFonts w:ascii="Arial" w:hAnsi="Arial" w:cs="Arial"/>
        </w:rPr>
      </w:pPr>
      <w:r w:rsidRPr="008A4A99">
        <w:rPr>
          <w:rFonts w:ascii="Arial" w:hAnsi="Arial" w:cs="Arial"/>
        </w:rPr>
        <w:t xml:space="preserve">Elle est destinataire des projets d'agendas d'accessibilité programmée prévus à l'article L. 165-1 du code de la construction et de l'habitation concernant des établissements recevant du public </w:t>
      </w:r>
      <w:r w:rsidR="006578FC">
        <w:rPr>
          <w:rFonts w:ascii="Arial" w:hAnsi="Arial" w:cs="Arial"/>
        </w:rPr>
        <w:t xml:space="preserve">(ERP) </w:t>
      </w:r>
      <w:r w:rsidRPr="008A4A99">
        <w:rPr>
          <w:rFonts w:ascii="Arial" w:hAnsi="Arial" w:cs="Arial"/>
        </w:rPr>
        <w:t>situés sur le territoire communal.</w:t>
      </w:r>
    </w:p>
    <w:p w14:paraId="03C77E0B" w14:textId="77777777" w:rsidR="008A4A99" w:rsidRPr="008A4A99" w:rsidRDefault="008A4A99" w:rsidP="008A4A99">
      <w:pPr>
        <w:pStyle w:val="Sansinterligne"/>
        <w:jc w:val="both"/>
        <w:rPr>
          <w:rFonts w:ascii="Arial" w:hAnsi="Arial" w:cs="Arial"/>
        </w:rPr>
      </w:pPr>
    </w:p>
    <w:p w14:paraId="5861B654" w14:textId="77777777" w:rsidR="008A4A99" w:rsidRDefault="008A4A99" w:rsidP="008A4A99">
      <w:pPr>
        <w:pStyle w:val="Sansinterligne"/>
        <w:jc w:val="both"/>
        <w:rPr>
          <w:rFonts w:ascii="Arial" w:hAnsi="Arial" w:cs="Arial"/>
        </w:rPr>
      </w:pPr>
      <w:r w:rsidRPr="008A4A99">
        <w:rPr>
          <w:rFonts w:ascii="Arial" w:hAnsi="Arial" w:cs="Arial"/>
        </w:rPr>
        <w:t xml:space="preserve">Elle est également destinataire des documents de suivi définis par le décret prévu à l'article L. 165-5 du code de la construction et de l'habitation et de l'attestation d'achèvement des travaux prévus dans l'agenda d'accessibilité programmée mentionnée au même article quand l'agenda </w:t>
      </w:r>
      <w:r w:rsidRPr="008A4A99">
        <w:rPr>
          <w:rFonts w:ascii="Arial" w:hAnsi="Arial" w:cs="Arial"/>
        </w:rPr>
        <w:lastRenderedPageBreak/>
        <w:t>d'accessibilité programmée concerne un établissement recevant du public situé sur le territoire communal.</w:t>
      </w:r>
    </w:p>
    <w:p w14:paraId="6527CD09" w14:textId="77777777" w:rsidR="008A4A99" w:rsidRDefault="008A4A99" w:rsidP="008A4A99">
      <w:pPr>
        <w:pStyle w:val="Sansinterligne"/>
        <w:jc w:val="both"/>
        <w:rPr>
          <w:rFonts w:ascii="Arial" w:hAnsi="Arial" w:cs="Arial"/>
        </w:rPr>
      </w:pPr>
    </w:p>
    <w:p w14:paraId="4FDF97C1" w14:textId="12129DCF" w:rsidR="008A4A99" w:rsidRDefault="008A4A99" w:rsidP="008A4A99">
      <w:pPr>
        <w:pStyle w:val="Sansinterligne"/>
        <w:jc w:val="both"/>
        <w:rPr>
          <w:rFonts w:ascii="Arial" w:hAnsi="Arial" w:cs="Arial"/>
        </w:rPr>
      </w:pPr>
      <w:r w:rsidRPr="008A4A99">
        <w:rPr>
          <w:rFonts w:ascii="Arial" w:hAnsi="Arial" w:cs="Arial"/>
        </w:rPr>
        <w:t>Cette commission organise également un système de recensement de l'offre de logements accessibles aux personnes handicapées et aux personnes âgées.</w:t>
      </w:r>
    </w:p>
    <w:p w14:paraId="547D9C3F" w14:textId="77777777" w:rsidR="008A4A99" w:rsidRDefault="008A4A99" w:rsidP="008A4A99">
      <w:pPr>
        <w:pStyle w:val="Sansinterligne"/>
        <w:jc w:val="both"/>
        <w:rPr>
          <w:rFonts w:ascii="Arial" w:hAnsi="Arial" w:cs="Arial"/>
        </w:rPr>
      </w:pPr>
    </w:p>
    <w:p w14:paraId="4F7B74C1" w14:textId="77777777" w:rsidR="008A4A99" w:rsidRDefault="008A4A99" w:rsidP="008A4A99">
      <w:pPr>
        <w:pStyle w:val="Sansinterligne"/>
        <w:jc w:val="both"/>
        <w:rPr>
          <w:rFonts w:ascii="Arial" w:hAnsi="Arial" w:cs="Arial"/>
        </w:rPr>
      </w:pPr>
      <w:r w:rsidRPr="008A4A99">
        <w:rPr>
          <w:rFonts w:ascii="Arial" w:hAnsi="Arial" w:cs="Arial"/>
        </w:rPr>
        <w:t>Le rapport de la commission communale pour l'accessibilité est présenté au conseil municipal et est transmis au représentant de l'Etat dans le département, au président du conseil départemental, au conseil départemental de la citoyenneté et de l'autonomie, ainsi qu'à tous les responsables des bâtiments, installations et lieux de travail concernés par le rapport.</w:t>
      </w:r>
    </w:p>
    <w:p w14:paraId="2D7D1325" w14:textId="77777777" w:rsidR="008A4A99" w:rsidRPr="008A4A99" w:rsidRDefault="008A4A99" w:rsidP="008A4A99">
      <w:pPr>
        <w:pStyle w:val="Sansinterligne"/>
        <w:jc w:val="both"/>
        <w:rPr>
          <w:rFonts w:ascii="Arial" w:hAnsi="Arial" w:cs="Arial"/>
        </w:rPr>
      </w:pPr>
    </w:p>
    <w:p w14:paraId="4E3ADEB6" w14:textId="77777777" w:rsidR="008A4A99" w:rsidRPr="008A4A99" w:rsidRDefault="008A4A99" w:rsidP="008A4A99">
      <w:pPr>
        <w:pStyle w:val="Sansinterligne"/>
        <w:jc w:val="both"/>
        <w:rPr>
          <w:rFonts w:ascii="Arial" w:hAnsi="Arial" w:cs="Arial"/>
        </w:rPr>
      </w:pPr>
      <w:r w:rsidRPr="008A4A99">
        <w:rPr>
          <w:rFonts w:ascii="Arial" w:hAnsi="Arial" w:cs="Arial"/>
        </w:rPr>
        <w:t>Le maire préside la commission et arrête la liste de ses membres.</w:t>
      </w:r>
    </w:p>
    <w:p w14:paraId="38764A54" w14:textId="77777777" w:rsidR="008A4A99" w:rsidRPr="008A4A99" w:rsidRDefault="008A4A99" w:rsidP="008A4A99">
      <w:pPr>
        <w:pStyle w:val="Sansinterligne"/>
        <w:jc w:val="both"/>
        <w:rPr>
          <w:rFonts w:ascii="Arial" w:hAnsi="Arial" w:cs="Arial"/>
        </w:rPr>
      </w:pPr>
    </w:p>
    <w:p w14:paraId="7A0460F5" w14:textId="77777777" w:rsidR="007A77B2" w:rsidRPr="00C008BA" w:rsidRDefault="007A77B2" w:rsidP="00CE40F5">
      <w:pPr>
        <w:pStyle w:val="Sansinterligne"/>
        <w:jc w:val="both"/>
        <w:rPr>
          <w:rFonts w:ascii="Arial" w:hAnsi="Arial" w:cs="Arial"/>
        </w:rPr>
      </w:pPr>
    </w:p>
    <w:p w14:paraId="4E5E262D" w14:textId="1A185308" w:rsidR="00C008BA" w:rsidRPr="00C008BA" w:rsidRDefault="00C008BA" w:rsidP="00CE40F5">
      <w:pPr>
        <w:pStyle w:val="Sansinterligne"/>
        <w:jc w:val="both"/>
        <w:rPr>
          <w:rFonts w:ascii="Arial" w:hAnsi="Arial" w:cs="Arial"/>
        </w:rPr>
      </w:pPr>
      <w:r w:rsidRPr="00C008BA">
        <w:rPr>
          <w:rFonts w:ascii="Arial" w:hAnsi="Arial" w:cs="Arial"/>
        </w:rPr>
        <w:t xml:space="preserve">Le Conseil Municipal, </w:t>
      </w:r>
      <w:r w:rsidRPr="001003CB">
        <w:rPr>
          <w:rFonts w:ascii="Arial" w:hAnsi="Arial" w:cs="Arial"/>
          <w:b/>
          <w:bCs/>
          <w:highlight w:val="yellow"/>
        </w:rPr>
        <w:t>à l’unanimité</w:t>
      </w:r>
      <w:r w:rsidRPr="00F562A8">
        <w:rPr>
          <w:rFonts w:ascii="Arial" w:hAnsi="Arial" w:cs="Arial"/>
          <w:highlight w:val="yellow"/>
        </w:rPr>
        <w:t>,</w:t>
      </w:r>
      <w:r w:rsidR="00F562A8" w:rsidRPr="00F562A8">
        <w:rPr>
          <w:rFonts w:ascii="Arial" w:hAnsi="Arial" w:cs="Arial"/>
          <w:b/>
          <w:bCs/>
          <w:kern w:val="0"/>
          <w:highlight w:val="yellow"/>
          <w14:ligatures w14:val="none"/>
        </w:rPr>
        <w:t xml:space="preserve"> </w:t>
      </w:r>
      <w:r w:rsidR="00F562A8" w:rsidRPr="00F562A8">
        <w:rPr>
          <w:rFonts w:ascii="Arial" w:hAnsi="Arial" w:cs="Arial"/>
          <w:b/>
          <w:bCs/>
          <w:highlight w:val="yellow"/>
        </w:rPr>
        <w:t>ou bien à la majorité</w:t>
      </w:r>
      <w:r w:rsidR="00F562A8" w:rsidRPr="00F562A8">
        <w:rPr>
          <w:rFonts w:ascii="Arial" w:hAnsi="Arial" w:cs="Arial"/>
        </w:rPr>
        <w:t>,</w:t>
      </w:r>
    </w:p>
    <w:p w14:paraId="0CEB6FB5" w14:textId="77777777" w:rsidR="00C008BA" w:rsidRPr="00C008BA" w:rsidRDefault="00C008BA" w:rsidP="00CE40F5">
      <w:pPr>
        <w:pStyle w:val="Sansinterligne"/>
        <w:jc w:val="both"/>
        <w:rPr>
          <w:rFonts w:ascii="Arial" w:hAnsi="Arial" w:cs="Arial"/>
        </w:rPr>
      </w:pPr>
    </w:p>
    <w:p w14:paraId="3F2920AF" w14:textId="109B5235" w:rsidR="00C008BA" w:rsidRPr="00623BD9" w:rsidRDefault="00C008BA" w:rsidP="00CE40F5">
      <w:pPr>
        <w:pStyle w:val="Sansinterligne"/>
        <w:jc w:val="both"/>
        <w:rPr>
          <w:rFonts w:ascii="Arial" w:hAnsi="Arial" w:cs="Arial"/>
        </w:rPr>
      </w:pPr>
      <w:r w:rsidRPr="00C008BA">
        <w:rPr>
          <w:rFonts w:ascii="Arial" w:hAnsi="Arial" w:cs="Arial"/>
          <w:b/>
          <w:bCs/>
        </w:rPr>
        <w:t>APPROUVE</w:t>
      </w:r>
      <w:r w:rsidR="00623BD9">
        <w:rPr>
          <w:rFonts w:ascii="Arial" w:hAnsi="Arial" w:cs="Arial"/>
        </w:rPr>
        <w:t xml:space="preserve"> </w:t>
      </w:r>
      <w:r w:rsidR="00CF5E30">
        <w:rPr>
          <w:rFonts w:ascii="Arial" w:hAnsi="Arial" w:cs="Arial"/>
        </w:rPr>
        <w:t>la création de la commission</w:t>
      </w:r>
      <w:r w:rsidR="007B45F7">
        <w:rPr>
          <w:rFonts w:ascii="Arial" w:hAnsi="Arial" w:cs="Arial"/>
        </w:rPr>
        <w:t xml:space="preserve"> </w:t>
      </w:r>
      <w:r w:rsidR="008A4A99">
        <w:rPr>
          <w:rFonts w:ascii="Arial" w:hAnsi="Arial" w:cs="Arial"/>
        </w:rPr>
        <w:t>d’accessibilité</w:t>
      </w:r>
      <w:r w:rsidR="007B45F7">
        <w:rPr>
          <w:rFonts w:ascii="Arial" w:hAnsi="Arial" w:cs="Arial"/>
        </w:rPr>
        <w:t xml:space="preserve"> </w:t>
      </w:r>
      <w:r w:rsidR="00623BD9">
        <w:rPr>
          <w:rFonts w:ascii="Arial" w:hAnsi="Arial" w:cs="Arial"/>
        </w:rPr>
        <w:t>;</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w:t>
      </w:r>
      <w:proofErr w:type="gramStart"/>
      <w:r w:rsidRPr="00C008BA">
        <w:rPr>
          <w:rFonts w:ascii="Arial" w:hAnsi="Arial" w:cs="Arial"/>
        </w:rPr>
        <w:t>Préfet</w:t>
      </w:r>
      <w:proofErr w:type="gramEnd"/>
      <w:r w:rsidRPr="00C008BA">
        <w:rPr>
          <w:rFonts w:ascii="Arial" w:hAnsi="Arial" w:cs="Arial"/>
        </w:rPr>
        <w:t xml:space="preserve">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t>LE MAIRE CERTIFIE CONFORME LE CARACTERE EXECUTOIRE DE LA PRESENTE DELIBERATION.</w:t>
      </w:r>
    </w:p>
    <w:p w14:paraId="43D62A7E" w14:textId="77777777" w:rsidR="00C008BA" w:rsidRPr="00C008BA" w:rsidRDefault="00C008BA" w:rsidP="00CE40F5">
      <w:pPr>
        <w:pStyle w:val="Sansinterligne"/>
        <w:jc w:val="both"/>
        <w:rPr>
          <w:rFonts w:ascii="Arial" w:hAnsi="Arial" w:cs="Arial"/>
        </w:rPr>
      </w:pPr>
      <w:r w:rsidRPr="00C008BA">
        <w:rPr>
          <w:rFonts w:ascii="Arial" w:hAnsi="Arial" w:cs="Arial"/>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77777777" w:rsidR="00C008BA" w:rsidRPr="00C008BA" w:rsidRDefault="00C008BA" w:rsidP="00C008BA">
            <w:pPr>
              <w:pStyle w:val="Sansinterligne"/>
              <w:rPr>
                <w:rFonts w:ascii="Arial" w:hAnsi="Arial" w:cs="Arial"/>
              </w:rPr>
            </w:pPr>
            <w:r w:rsidRPr="00C008BA">
              <w:rPr>
                <w:rFonts w:ascii="Arial" w:hAnsi="Arial" w:cs="Arial"/>
              </w:rP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22AAF9CA" w14:textId="77777777" w:rsidR="00623BD9" w:rsidRDefault="00C008BA" w:rsidP="00C008BA">
      <w:pPr>
        <w:pStyle w:val="Sansinterligne"/>
        <w:rPr>
          <w:rFonts w:ascii="Arial" w:hAnsi="Arial" w:cs="Arial"/>
        </w:rPr>
      </w:pP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p>
    <w:p w14:paraId="2E0EDC55" w14:textId="77777777" w:rsidR="00623BD9" w:rsidRDefault="00623BD9" w:rsidP="00C008BA">
      <w:pPr>
        <w:pStyle w:val="Sansinterligne"/>
        <w:rPr>
          <w:rFonts w:ascii="Arial" w:hAnsi="Arial" w:cs="Arial"/>
        </w:rPr>
      </w:pPr>
    </w:p>
    <w:p w14:paraId="03C935CC" w14:textId="77777777" w:rsidR="00623BD9" w:rsidRDefault="00623BD9" w:rsidP="00C008BA">
      <w:pPr>
        <w:pStyle w:val="Sansinterligne"/>
        <w:rPr>
          <w:rFonts w:ascii="Arial" w:hAnsi="Arial" w:cs="Arial"/>
        </w:rPr>
      </w:pPr>
    </w:p>
    <w:p w14:paraId="781224B1" w14:textId="77777777" w:rsidR="00623BD9" w:rsidRDefault="00623BD9" w:rsidP="00C008BA">
      <w:pPr>
        <w:pStyle w:val="Sansinterligne"/>
        <w:rPr>
          <w:rFonts w:ascii="Arial" w:hAnsi="Arial" w:cs="Arial"/>
        </w:rPr>
      </w:pPr>
    </w:p>
    <w:p w14:paraId="03AEE035" w14:textId="77777777" w:rsidR="00623BD9" w:rsidRDefault="00623BD9" w:rsidP="00C008BA">
      <w:pPr>
        <w:pStyle w:val="Sansinterligne"/>
        <w:rPr>
          <w:rFonts w:ascii="Arial" w:hAnsi="Arial" w:cs="Arial"/>
        </w:rPr>
      </w:pPr>
    </w:p>
    <w:p w14:paraId="2101D35E" w14:textId="77777777" w:rsidR="00623BD9" w:rsidRDefault="00623BD9" w:rsidP="00C008BA">
      <w:pPr>
        <w:pStyle w:val="Sansinterligne"/>
        <w:rPr>
          <w:rFonts w:ascii="Arial" w:hAnsi="Arial" w:cs="Arial"/>
        </w:rPr>
      </w:pPr>
    </w:p>
    <w:p w14:paraId="20699F17" w14:textId="77777777" w:rsidR="00623BD9" w:rsidRDefault="00623BD9" w:rsidP="00C008BA">
      <w:pPr>
        <w:pStyle w:val="Sansinterligne"/>
        <w:rPr>
          <w:rFonts w:ascii="Arial" w:hAnsi="Arial" w:cs="Arial"/>
        </w:rPr>
      </w:pPr>
    </w:p>
    <w:p w14:paraId="64A7FBBD" w14:textId="77777777" w:rsidR="00623BD9" w:rsidRDefault="00623BD9" w:rsidP="00C008BA">
      <w:pPr>
        <w:pStyle w:val="Sansinterligne"/>
        <w:rPr>
          <w:rFonts w:ascii="Arial" w:hAnsi="Arial" w:cs="Arial"/>
        </w:rPr>
      </w:pPr>
    </w:p>
    <w:p w14:paraId="6845BE5B" w14:textId="77777777" w:rsidR="00623BD9" w:rsidRDefault="00623BD9" w:rsidP="00C008BA">
      <w:pPr>
        <w:pStyle w:val="Sansinterligne"/>
        <w:rPr>
          <w:rFonts w:ascii="Arial" w:hAnsi="Arial" w:cs="Arial"/>
        </w:rPr>
      </w:pPr>
    </w:p>
    <w:p w14:paraId="48FDABF7" w14:textId="405AE6DF" w:rsidR="00C008BA" w:rsidRPr="00C008BA" w:rsidRDefault="00C008BA" w:rsidP="00C008BA">
      <w:pPr>
        <w:pStyle w:val="Sansinterligne"/>
        <w:rPr>
          <w:rFonts w:ascii="Arial" w:hAnsi="Arial" w:cs="Arial"/>
        </w:rPr>
      </w:pPr>
      <w:r w:rsidRPr="00C008BA">
        <w:rPr>
          <w:rFonts w:ascii="Arial" w:hAnsi="Arial" w:cs="Arial"/>
        </w:rPr>
        <w:br/>
      </w:r>
    </w:p>
    <w:p w14:paraId="46BAF8E6" w14:textId="53DB9B42" w:rsidR="00C008BA" w:rsidRPr="00401632" w:rsidRDefault="00C008BA" w:rsidP="00623BD9">
      <w:pPr>
        <w:pStyle w:val="Sansinterligne"/>
        <w:jc w:val="both"/>
        <w:rPr>
          <w:rFonts w:ascii="Arial" w:hAnsi="Arial" w:cs="Arial"/>
          <w:sz w:val="20"/>
          <w:szCs w:val="20"/>
        </w:rPr>
      </w:pPr>
      <w:r w:rsidRPr="00401632">
        <w:rPr>
          <w:rFonts w:ascii="Arial" w:hAnsi="Arial" w:cs="Arial"/>
          <w:i/>
          <w:iCs/>
          <w:sz w:val="20"/>
          <w:szCs w:val="20"/>
        </w:rPr>
        <w:t xml:space="preserve">La présente délibération sera publiée sur le site internet de la Commune et transmise à Monsieur le </w:t>
      </w:r>
      <w:proofErr w:type="gramStart"/>
      <w:r w:rsidRPr="00401632">
        <w:rPr>
          <w:rFonts w:ascii="Arial" w:hAnsi="Arial" w:cs="Arial"/>
          <w:i/>
          <w:iCs/>
          <w:sz w:val="20"/>
          <w:szCs w:val="20"/>
        </w:rPr>
        <w:t>Préfet</w:t>
      </w:r>
      <w:proofErr w:type="gramEnd"/>
      <w:r w:rsidRPr="00401632">
        <w:rPr>
          <w:rFonts w:ascii="Arial" w:hAnsi="Arial" w:cs="Arial"/>
          <w:i/>
          <w:iCs/>
          <w:sz w:val="20"/>
          <w:szCs w:val="20"/>
        </w:rPr>
        <w:t xml:space="preserve"> d</w:t>
      </w:r>
      <w:r w:rsidR="00623BD9" w:rsidRPr="00401632">
        <w:rPr>
          <w:rFonts w:ascii="Arial" w:hAnsi="Arial" w:cs="Arial"/>
          <w:i/>
          <w:iCs/>
          <w:sz w:val="20"/>
          <w:szCs w:val="20"/>
        </w:rPr>
        <w:t>u Gard</w:t>
      </w:r>
      <w:r w:rsidRPr="00401632">
        <w:rPr>
          <w:rFonts w:ascii="Arial" w:hAnsi="Arial" w:cs="Arial"/>
          <w:i/>
          <w:iCs/>
          <w:sz w:val="20"/>
          <w:szCs w:val="20"/>
        </w:rPr>
        <w:t xml:space="preserve">. La présente délibération peut faire l’objet d’un recours pour excès de pouvoir devant le Tribunal administratif de </w:t>
      </w:r>
      <w:r w:rsidR="00401632" w:rsidRPr="00401632">
        <w:rPr>
          <w:rFonts w:ascii="Arial" w:hAnsi="Arial" w:cs="Arial"/>
          <w:i/>
          <w:iCs/>
          <w:sz w:val="20"/>
          <w:szCs w:val="20"/>
        </w:rPr>
        <w:t>Nîmes</w:t>
      </w:r>
      <w:r w:rsidRPr="00401632">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5" w:history="1">
        <w:r w:rsidRPr="00401632">
          <w:rPr>
            <w:rStyle w:val="Lienhypertexte"/>
            <w:rFonts w:ascii="Arial" w:hAnsi="Arial" w:cs="Arial"/>
            <w:i/>
            <w:iCs/>
            <w:sz w:val="20"/>
            <w:szCs w:val="20"/>
          </w:rPr>
          <w:t>www.telerecours.fr</w:t>
        </w:r>
      </w:hyperlink>
      <w:r w:rsidRPr="00401632">
        <w:rPr>
          <w:rFonts w:ascii="Arial" w:hAnsi="Arial" w:cs="Arial"/>
          <w:i/>
          <w:iCs/>
          <w:sz w:val="20"/>
          <w:szCs w:val="20"/>
        </w:rPr>
        <w:t>.</w:t>
      </w:r>
    </w:p>
    <w:p w14:paraId="0C17E2A6" w14:textId="77777777" w:rsidR="005A2FEE" w:rsidRDefault="005A2FEE"/>
    <w:sectPr w:rsidR="005A2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6C27"/>
    <w:multiLevelType w:val="hybridMultilevel"/>
    <w:tmpl w:val="E30A89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3D2002"/>
    <w:multiLevelType w:val="hybridMultilevel"/>
    <w:tmpl w:val="AC4C66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1408095">
    <w:abstractNumId w:val="0"/>
  </w:num>
  <w:num w:numId="2" w16cid:durableId="2037190498">
    <w:abstractNumId w:val="0"/>
  </w:num>
  <w:num w:numId="3" w16cid:durableId="155485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081472"/>
    <w:rsid w:val="000A35FA"/>
    <w:rsid w:val="001003CB"/>
    <w:rsid w:val="002204BA"/>
    <w:rsid w:val="00253CD6"/>
    <w:rsid w:val="00293859"/>
    <w:rsid w:val="00401632"/>
    <w:rsid w:val="004851D8"/>
    <w:rsid w:val="004B37E1"/>
    <w:rsid w:val="004C2E08"/>
    <w:rsid w:val="005A2FEE"/>
    <w:rsid w:val="00623BD9"/>
    <w:rsid w:val="00624F4D"/>
    <w:rsid w:val="006578FC"/>
    <w:rsid w:val="0069310E"/>
    <w:rsid w:val="007A77B2"/>
    <w:rsid w:val="007B45F7"/>
    <w:rsid w:val="007C1434"/>
    <w:rsid w:val="008569C4"/>
    <w:rsid w:val="008A4A99"/>
    <w:rsid w:val="00A65480"/>
    <w:rsid w:val="00C008BA"/>
    <w:rsid w:val="00C03F05"/>
    <w:rsid w:val="00CE40F5"/>
    <w:rsid w:val="00CF5E30"/>
    <w:rsid w:val="00D72E28"/>
    <w:rsid w:val="00DE6E66"/>
    <w:rsid w:val="00EF1879"/>
    <w:rsid w:val="00F562A8"/>
    <w:rsid w:val="00FB2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15</cp:revision>
  <dcterms:created xsi:type="dcterms:W3CDTF">2026-01-14T12:56:00Z</dcterms:created>
  <dcterms:modified xsi:type="dcterms:W3CDTF">2026-03-11T14:02:00Z</dcterms:modified>
</cp:coreProperties>
</file>