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937"/>
        <w:gridCol w:w="6135"/>
      </w:tblGrid>
      <w:tr w:rsidR="00C008BA"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167F66C3" w:rsidR="00C008BA" w:rsidRPr="001003CB" w:rsidRDefault="007A77B2" w:rsidP="00C008BA">
            <w:pPr>
              <w:rPr>
                <w:rFonts w:ascii="Arial" w:hAnsi="Arial" w:cs="Arial"/>
              </w:rPr>
            </w:pPr>
            <w:r>
              <w:rPr>
                <w:rFonts w:ascii="Arial" w:hAnsi="Arial" w:cs="Arial"/>
              </w:rPr>
              <w:t>CREATION DE LA COMMISSION D’APPEL D’OFFRES</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7AFCD52C"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85086D">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743AF6D1" w14:textId="7C3D90B8" w:rsidR="007A77B2" w:rsidRDefault="00C008BA" w:rsidP="007A77B2">
      <w:pPr>
        <w:pStyle w:val="Sansinterligne"/>
        <w:rPr>
          <w:rFonts w:ascii="Arial" w:hAnsi="Arial" w:cs="Arial"/>
        </w:rPr>
      </w:pPr>
      <w:r w:rsidRPr="00C008BA">
        <w:br/>
      </w:r>
      <w:r w:rsidR="007A77B2" w:rsidRPr="007A77B2">
        <w:rPr>
          <w:rFonts w:ascii="Arial" w:hAnsi="Arial" w:cs="Arial"/>
        </w:rPr>
        <w:t>Vu l</w:t>
      </w:r>
      <w:r w:rsidR="007A77B2">
        <w:rPr>
          <w:rFonts w:ascii="Arial" w:hAnsi="Arial" w:cs="Arial"/>
        </w:rPr>
        <w:t>e Code général des collectivités territoriales et notamment les articles</w:t>
      </w:r>
      <w:r w:rsidR="007A77B2" w:rsidRPr="007A77B2">
        <w:rPr>
          <w:rFonts w:ascii="Arial" w:hAnsi="Arial" w:cs="Arial"/>
        </w:rPr>
        <w:t xml:space="preserve"> L1414-2</w:t>
      </w:r>
      <w:r w:rsidR="007A77B2">
        <w:rPr>
          <w:rFonts w:ascii="Arial" w:hAnsi="Arial" w:cs="Arial"/>
        </w:rPr>
        <w:t xml:space="preserve"> et L1411-5 ;</w:t>
      </w:r>
    </w:p>
    <w:p w14:paraId="6FE2027B" w14:textId="77777777" w:rsidR="007A77B2" w:rsidRDefault="007A77B2" w:rsidP="007A77B2">
      <w:pPr>
        <w:pStyle w:val="Sansinterligne"/>
        <w:rPr>
          <w:rFonts w:ascii="Arial" w:hAnsi="Arial" w:cs="Arial"/>
        </w:rPr>
      </w:pPr>
    </w:p>
    <w:p w14:paraId="50239213" w14:textId="04B942A8" w:rsidR="007A77B2" w:rsidRDefault="007A77B2" w:rsidP="007A77B2">
      <w:pPr>
        <w:pStyle w:val="Sansinterligne"/>
        <w:rPr>
          <w:rFonts w:ascii="Arial" w:hAnsi="Arial" w:cs="Arial"/>
        </w:rPr>
      </w:pPr>
      <w:r>
        <w:rPr>
          <w:rFonts w:ascii="Arial" w:hAnsi="Arial" w:cs="Arial"/>
        </w:rPr>
        <w:t>La commission d’appel d’offres est créée afin de choisir les titulaires des marchés publics qui sont passés selon une procédure formalisée, dont la valeur estimée hors taxe prise individuellement est égale ou supérieure aux seuils européens mis à jour chaque année.</w:t>
      </w:r>
    </w:p>
    <w:p w14:paraId="50825CB3" w14:textId="77777777" w:rsidR="007A77B2" w:rsidRDefault="007A77B2" w:rsidP="007A77B2">
      <w:pPr>
        <w:pStyle w:val="Sansinterligne"/>
        <w:rPr>
          <w:rFonts w:ascii="Arial" w:hAnsi="Arial" w:cs="Arial"/>
        </w:rPr>
      </w:pPr>
    </w:p>
    <w:p w14:paraId="75546395" w14:textId="1E46251F" w:rsidR="007A77B2" w:rsidRDefault="007A77B2" w:rsidP="007A77B2">
      <w:pPr>
        <w:pStyle w:val="Sansinterligne"/>
        <w:rPr>
          <w:rFonts w:ascii="Arial" w:hAnsi="Arial" w:cs="Arial"/>
        </w:rPr>
      </w:pPr>
      <w:r>
        <w:rPr>
          <w:rFonts w:ascii="Arial" w:hAnsi="Arial" w:cs="Arial"/>
        </w:rPr>
        <w:t>Il appartient à cette commission :</w:t>
      </w:r>
    </w:p>
    <w:p w14:paraId="7B3C663A" w14:textId="09D386AF" w:rsidR="007A77B2" w:rsidRDefault="007A77B2" w:rsidP="007A77B2">
      <w:pPr>
        <w:pStyle w:val="Sansinterligne"/>
        <w:numPr>
          <w:ilvl w:val="0"/>
          <w:numId w:val="1"/>
        </w:numPr>
        <w:rPr>
          <w:rFonts w:ascii="Arial" w:hAnsi="Arial" w:cs="Arial"/>
        </w:rPr>
      </w:pPr>
      <w:r>
        <w:rPr>
          <w:rFonts w:ascii="Arial" w:hAnsi="Arial" w:cs="Arial"/>
        </w:rPr>
        <w:t>D’examiner les candidatures ;</w:t>
      </w:r>
    </w:p>
    <w:p w14:paraId="1BF5814B" w14:textId="5AE7582E" w:rsidR="007A77B2" w:rsidRDefault="007A77B2" w:rsidP="007A77B2">
      <w:pPr>
        <w:pStyle w:val="Sansinterligne"/>
        <w:numPr>
          <w:ilvl w:val="0"/>
          <w:numId w:val="1"/>
        </w:numPr>
        <w:rPr>
          <w:rFonts w:ascii="Arial" w:hAnsi="Arial" w:cs="Arial"/>
        </w:rPr>
      </w:pPr>
      <w:r>
        <w:rPr>
          <w:rFonts w:ascii="Arial" w:hAnsi="Arial" w:cs="Arial"/>
        </w:rPr>
        <w:t>De dresser la liste des candidats admis à présenter une offre ;</w:t>
      </w:r>
    </w:p>
    <w:p w14:paraId="344BE351" w14:textId="1076F6C2" w:rsidR="007A77B2" w:rsidRDefault="007A77B2" w:rsidP="007A77B2">
      <w:pPr>
        <w:pStyle w:val="Sansinterligne"/>
        <w:numPr>
          <w:ilvl w:val="0"/>
          <w:numId w:val="1"/>
        </w:numPr>
        <w:rPr>
          <w:rFonts w:ascii="Arial" w:hAnsi="Arial" w:cs="Arial"/>
        </w:rPr>
      </w:pPr>
      <w:r>
        <w:rPr>
          <w:rFonts w:ascii="Arial" w:hAnsi="Arial" w:cs="Arial"/>
        </w:rPr>
        <w:t>D’ouvrir les plis contenant les offres ;</w:t>
      </w:r>
    </w:p>
    <w:p w14:paraId="780894A7" w14:textId="46D1D2C6" w:rsidR="007A77B2" w:rsidRDefault="007A77B2" w:rsidP="007A77B2">
      <w:pPr>
        <w:pStyle w:val="Sansinterligne"/>
        <w:numPr>
          <w:ilvl w:val="0"/>
          <w:numId w:val="1"/>
        </w:numPr>
        <w:rPr>
          <w:rFonts w:ascii="Arial" w:hAnsi="Arial" w:cs="Arial"/>
        </w:rPr>
      </w:pPr>
      <w:r>
        <w:rPr>
          <w:rFonts w:ascii="Arial" w:hAnsi="Arial" w:cs="Arial"/>
        </w:rPr>
        <w:t>D’établir un rapport d’analyse des offres présentant notamment la liste des entreprises admises à soumissionner et l’analyse des propositions de celles-ci, ainsi que les motifs du choix de la candidate ;</w:t>
      </w:r>
    </w:p>
    <w:p w14:paraId="77BB65E9" w14:textId="2EB16807" w:rsidR="007A77B2" w:rsidRDefault="007A77B2" w:rsidP="007A77B2">
      <w:pPr>
        <w:pStyle w:val="Sansinterligne"/>
        <w:numPr>
          <w:ilvl w:val="0"/>
          <w:numId w:val="1"/>
        </w:numPr>
        <w:rPr>
          <w:rFonts w:ascii="Arial" w:hAnsi="Arial" w:cs="Arial"/>
        </w:rPr>
      </w:pPr>
      <w:r>
        <w:rPr>
          <w:rFonts w:ascii="Arial" w:hAnsi="Arial" w:cs="Arial"/>
        </w:rPr>
        <w:t>D’émettre un avis sur les offres analysées ;</w:t>
      </w:r>
    </w:p>
    <w:p w14:paraId="37E37F5B" w14:textId="541090E7" w:rsidR="007A77B2" w:rsidRPr="007A77B2" w:rsidRDefault="007A77B2" w:rsidP="007A77B2">
      <w:pPr>
        <w:pStyle w:val="Sansinterligne"/>
        <w:numPr>
          <w:ilvl w:val="0"/>
          <w:numId w:val="1"/>
        </w:numPr>
        <w:rPr>
          <w:rFonts w:ascii="Arial" w:hAnsi="Arial" w:cs="Arial"/>
        </w:rPr>
      </w:pPr>
      <w:r>
        <w:rPr>
          <w:rFonts w:ascii="Arial" w:hAnsi="Arial" w:cs="Arial"/>
        </w:rPr>
        <w:t>D’émettre un avis sur tout projet d’avenant entraînant une augmentation du montant global supérieure à 5 % du montant initial.</w:t>
      </w:r>
    </w:p>
    <w:p w14:paraId="5221084E" w14:textId="151B9455" w:rsidR="00C008BA" w:rsidRPr="00C008BA" w:rsidRDefault="00C008BA" w:rsidP="007A77B2">
      <w:pPr>
        <w:pStyle w:val="Sansinterligne"/>
        <w:jc w:val="both"/>
        <w:rPr>
          <w:rFonts w:ascii="Arial" w:hAnsi="Arial" w:cs="Arial"/>
        </w:rPr>
      </w:pPr>
    </w:p>
    <w:p w14:paraId="2FF4689D" w14:textId="7873F788" w:rsidR="00C008BA" w:rsidRDefault="007A77B2" w:rsidP="00CE40F5">
      <w:pPr>
        <w:pStyle w:val="Sansinterligne"/>
        <w:jc w:val="both"/>
        <w:rPr>
          <w:rFonts w:ascii="Arial" w:hAnsi="Arial" w:cs="Arial"/>
        </w:rPr>
      </w:pPr>
      <w:r>
        <w:rPr>
          <w:rFonts w:ascii="Arial" w:hAnsi="Arial" w:cs="Arial"/>
        </w:rPr>
        <w:t xml:space="preserve">Elle est composée du maire, qui la préside, ainsi que de </w:t>
      </w:r>
      <w:r w:rsidR="00CF065A">
        <w:rPr>
          <w:rFonts w:ascii="Arial" w:hAnsi="Arial" w:cs="Arial"/>
        </w:rPr>
        <w:t>5</w:t>
      </w:r>
      <w:r>
        <w:rPr>
          <w:rFonts w:ascii="Arial" w:hAnsi="Arial" w:cs="Arial"/>
        </w:rPr>
        <w:t xml:space="preserve"> membres titulaires et de </w:t>
      </w:r>
      <w:r w:rsidR="00CF065A">
        <w:rPr>
          <w:rFonts w:ascii="Arial" w:hAnsi="Arial" w:cs="Arial"/>
        </w:rPr>
        <w:t>5</w:t>
      </w:r>
      <w:r>
        <w:rPr>
          <w:rFonts w:ascii="Arial" w:hAnsi="Arial" w:cs="Arial"/>
        </w:rPr>
        <w:t xml:space="preserve"> membres suppléants, élus parmi les conseillers municipaux</w:t>
      </w:r>
      <w:r w:rsidR="001B4601">
        <w:rPr>
          <w:rFonts w:ascii="Arial" w:hAnsi="Arial" w:cs="Arial"/>
        </w:rPr>
        <w:t xml:space="preserve"> à la représentation proportionnelle au plus fort reste.</w:t>
      </w:r>
    </w:p>
    <w:p w14:paraId="7A0460F5" w14:textId="77777777" w:rsidR="007A77B2" w:rsidRPr="00C008BA" w:rsidRDefault="007A77B2" w:rsidP="00CE40F5">
      <w:pPr>
        <w:pStyle w:val="Sansinterligne"/>
        <w:jc w:val="both"/>
        <w:rPr>
          <w:rFonts w:ascii="Arial" w:hAnsi="Arial" w:cs="Arial"/>
        </w:rPr>
      </w:pPr>
    </w:p>
    <w:p w14:paraId="4E5E262D" w14:textId="127933A3"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Pr="00C008BA">
        <w:rPr>
          <w:rFonts w:ascii="Arial" w:hAnsi="Arial" w:cs="Arial"/>
        </w:rPr>
        <w:t>,</w:t>
      </w:r>
      <w:r w:rsidR="00D942EB">
        <w:rPr>
          <w:rFonts w:ascii="Arial" w:hAnsi="Arial" w:cs="Arial"/>
        </w:rPr>
        <w:t xml:space="preserve"> </w:t>
      </w:r>
      <w:r w:rsidR="00D942EB" w:rsidRPr="00D942EB">
        <w:rPr>
          <w:rFonts w:ascii="Arial" w:hAnsi="Arial" w:cs="Arial"/>
          <w:b/>
          <w:bCs/>
          <w:highlight w:val="yellow"/>
        </w:rPr>
        <w:t>ou bien à la majorité</w:t>
      </w:r>
      <w:r w:rsidR="00D942EB">
        <w:rPr>
          <w:rFonts w:ascii="Arial" w:hAnsi="Arial" w:cs="Arial"/>
        </w:rPr>
        <w:t>,</w:t>
      </w:r>
    </w:p>
    <w:p w14:paraId="0CEB6FB5" w14:textId="77777777" w:rsidR="00C008BA" w:rsidRPr="00C008BA" w:rsidRDefault="00C008BA" w:rsidP="00CE40F5">
      <w:pPr>
        <w:pStyle w:val="Sansinterligne"/>
        <w:jc w:val="both"/>
        <w:rPr>
          <w:rFonts w:ascii="Arial" w:hAnsi="Arial" w:cs="Arial"/>
        </w:rPr>
      </w:pPr>
    </w:p>
    <w:p w14:paraId="3F2920AF" w14:textId="096CFE0A" w:rsidR="00C008BA" w:rsidRPr="00623BD9" w:rsidRDefault="00C008BA" w:rsidP="00CE40F5">
      <w:pPr>
        <w:pStyle w:val="Sansinterligne"/>
        <w:jc w:val="both"/>
        <w:rPr>
          <w:rFonts w:ascii="Arial" w:hAnsi="Arial" w:cs="Arial"/>
        </w:rPr>
      </w:pPr>
      <w:r w:rsidRPr="00C008BA">
        <w:rPr>
          <w:rFonts w:ascii="Arial" w:hAnsi="Arial" w:cs="Arial"/>
          <w:b/>
          <w:bCs/>
        </w:rPr>
        <w:t>APPROUVE</w:t>
      </w:r>
      <w:r w:rsidR="00623BD9">
        <w:rPr>
          <w:rFonts w:ascii="Arial" w:hAnsi="Arial" w:cs="Arial"/>
        </w:rPr>
        <w:t xml:space="preserve"> </w:t>
      </w:r>
      <w:r w:rsidR="00CF5E30">
        <w:rPr>
          <w:rFonts w:ascii="Arial" w:hAnsi="Arial" w:cs="Arial"/>
        </w:rPr>
        <w:t>la création de la commission d’appel d’offres</w:t>
      </w:r>
      <w:r w:rsidR="00623BD9">
        <w:rPr>
          <w:rFonts w:ascii="Arial" w:hAnsi="Arial" w:cs="Arial"/>
        </w:rPr>
        <w:t> ;</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lastRenderedPageBreak/>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w:t>
      </w:r>
      <w:proofErr w:type="gramStart"/>
      <w:r w:rsidRPr="00C008BA">
        <w:rPr>
          <w:rFonts w:ascii="Arial" w:hAnsi="Arial" w:cs="Arial"/>
        </w:rPr>
        <w:t>Préfet</w:t>
      </w:r>
      <w:proofErr w:type="gramEnd"/>
      <w:r w:rsidRPr="00C008BA">
        <w:rPr>
          <w:rFonts w:ascii="Arial" w:hAnsi="Arial" w:cs="Arial"/>
        </w:rPr>
        <w:t xml:space="preserve">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p w14:paraId="43D62A7E" w14:textId="77777777" w:rsidR="00C008BA" w:rsidRPr="00C008BA" w:rsidRDefault="00C008BA" w:rsidP="00CE40F5">
      <w:pPr>
        <w:pStyle w:val="Sansinterligne"/>
        <w:jc w:val="both"/>
        <w:rPr>
          <w:rFonts w:ascii="Arial" w:hAnsi="Arial" w:cs="Arial"/>
        </w:rPr>
      </w:pPr>
      <w:r w:rsidRPr="00C008BA">
        <w:rPr>
          <w:rFonts w:ascii="Arial" w:hAnsi="Arial" w:cs="Arial"/>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7777777" w:rsidR="00C008BA" w:rsidRPr="00C008BA" w:rsidRDefault="00C008BA" w:rsidP="00C008BA">
            <w:pPr>
              <w:pStyle w:val="Sansinterligne"/>
              <w:rPr>
                <w:rFonts w:ascii="Arial" w:hAnsi="Arial" w:cs="Arial"/>
              </w:rPr>
            </w:pPr>
            <w:r w:rsidRPr="00C008BA">
              <w:rPr>
                <w:rFonts w:ascii="Arial" w:hAnsi="Arial" w:cs="Arial"/>
              </w:rP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22AAF9CA" w14:textId="77777777" w:rsidR="00623BD9" w:rsidRDefault="00C008BA" w:rsidP="00C008BA">
      <w:pPr>
        <w:pStyle w:val="Sansinterligne"/>
        <w:rPr>
          <w:rFonts w:ascii="Arial" w:hAnsi="Arial" w:cs="Arial"/>
        </w:rPr>
      </w:pP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p>
    <w:p w14:paraId="2E0EDC55" w14:textId="77777777" w:rsidR="00623BD9" w:rsidRDefault="00623BD9" w:rsidP="00C008BA">
      <w:pPr>
        <w:pStyle w:val="Sansinterligne"/>
        <w:rPr>
          <w:rFonts w:ascii="Arial" w:hAnsi="Arial" w:cs="Arial"/>
        </w:rPr>
      </w:pPr>
    </w:p>
    <w:p w14:paraId="03C935CC" w14:textId="77777777" w:rsidR="00623BD9" w:rsidRDefault="00623BD9" w:rsidP="00C008BA">
      <w:pPr>
        <w:pStyle w:val="Sansinterligne"/>
        <w:rPr>
          <w:rFonts w:ascii="Arial" w:hAnsi="Arial" w:cs="Arial"/>
        </w:rPr>
      </w:pPr>
    </w:p>
    <w:p w14:paraId="781224B1" w14:textId="77777777" w:rsidR="00623BD9" w:rsidRDefault="00623BD9" w:rsidP="00C008BA">
      <w:pPr>
        <w:pStyle w:val="Sansinterligne"/>
        <w:rPr>
          <w:rFonts w:ascii="Arial" w:hAnsi="Arial" w:cs="Arial"/>
        </w:rPr>
      </w:pPr>
    </w:p>
    <w:p w14:paraId="5E180E43" w14:textId="77777777" w:rsidR="00623BD9" w:rsidRDefault="00623BD9" w:rsidP="00C008BA">
      <w:pPr>
        <w:pStyle w:val="Sansinterligne"/>
        <w:rPr>
          <w:rFonts w:ascii="Arial" w:hAnsi="Arial" w:cs="Arial"/>
        </w:rPr>
      </w:pPr>
    </w:p>
    <w:p w14:paraId="70C8621A" w14:textId="77777777" w:rsidR="00623BD9" w:rsidRDefault="00623BD9" w:rsidP="00C008BA">
      <w:pPr>
        <w:pStyle w:val="Sansinterligne"/>
        <w:rPr>
          <w:rFonts w:ascii="Arial" w:hAnsi="Arial" w:cs="Arial"/>
        </w:rPr>
      </w:pPr>
    </w:p>
    <w:p w14:paraId="094FCA99" w14:textId="77777777" w:rsidR="00623BD9" w:rsidRDefault="00623BD9" w:rsidP="00C008BA">
      <w:pPr>
        <w:pStyle w:val="Sansinterligne"/>
        <w:rPr>
          <w:rFonts w:ascii="Arial" w:hAnsi="Arial" w:cs="Arial"/>
        </w:rPr>
      </w:pPr>
    </w:p>
    <w:p w14:paraId="2CA01FCA" w14:textId="77777777" w:rsidR="00623BD9" w:rsidRDefault="00623BD9" w:rsidP="00C008BA">
      <w:pPr>
        <w:pStyle w:val="Sansinterligne"/>
        <w:rPr>
          <w:rFonts w:ascii="Arial" w:hAnsi="Arial" w:cs="Arial"/>
        </w:rPr>
      </w:pPr>
    </w:p>
    <w:p w14:paraId="3FECADCA" w14:textId="77777777" w:rsidR="00623BD9" w:rsidRDefault="00623BD9" w:rsidP="00C008BA">
      <w:pPr>
        <w:pStyle w:val="Sansinterligne"/>
        <w:rPr>
          <w:rFonts w:ascii="Arial" w:hAnsi="Arial" w:cs="Arial"/>
        </w:rPr>
      </w:pPr>
    </w:p>
    <w:p w14:paraId="5CA1FA03" w14:textId="77777777" w:rsidR="00623BD9" w:rsidRDefault="00623BD9" w:rsidP="00C008BA">
      <w:pPr>
        <w:pStyle w:val="Sansinterligne"/>
        <w:rPr>
          <w:rFonts w:ascii="Arial" w:hAnsi="Arial" w:cs="Arial"/>
        </w:rPr>
      </w:pPr>
    </w:p>
    <w:p w14:paraId="407C5194" w14:textId="77777777" w:rsidR="00623BD9" w:rsidRDefault="00623BD9" w:rsidP="00C008BA">
      <w:pPr>
        <w:pStyle w:val="Sansinterligne"/>
        <w:rPr>
          <w:rFonts w:ascii="Arial" w:hAnsi="Arial" w:cs="Arial"/>
        </w:rPr>
      </w:pPr>
    </w:p>
    <w:p w14:paraId="03AEE035" w14:textId="77777777" w:rsidR="00623BD9" w:rsidRDefault="00623BD9" w:rsidP="00C008BA">
      <w:pPr>
        <w:pStyle w:val="Sansinterligne"/>
        <w:rPr>
          <w:rFonts w:ascii="Arial" w:hAnsi="Arial" w:cs="Arial"/>
        </w:rPr>
      </w:pPr>
    </w:p>
    <w:p w14:paraId="2101D35E" w14:textId="77777777" w:rsidR="00623BD9" w:rsidRDefault="00623BD9" w:rsidP="00C008BA">
      <w:pPr>
        <w:pStyle w:val="Sansinterligne"/>
        <w:rPr>
          <w:rFonts w:ascii="Arial" w:hAnsi="Arial" w:cs="Arial"/>
        </w:rPr>
      </w:pPr>
    </w:p>
    <w:p w14:paraId="20699F17" w14:textId="77777777" w:rsidR="00623BD9" w:rsidRDefault="00623BD9" w:rsidP="00C008BA">
      <w:pPr>
        <w:pStyle w:val="Sansinterligne"/>
        <w:rPr>
          <w:rFonts w:ascii="Arial" w:hAnsi="Arial" w:cs="Arial"/>
        </w:rPr>
      </w:pPr>
    </w:p>
    <w:p w14:paraId="64A7FBBD" w14:textId="77777777" w:rsidR="00623BD9" w:rsidRDefault="00623BD9" w:rsidP="00C008BA">
      <w:pPr>
        <w:pStyle w:val="Sansinterligne"/>
        <w:rPr>
          <w:rFonts w:ascii="Arial" w:hAnsi="Arial" w:cs="Arial"/>
        </w:rPr>
      </w:pPr>
    </w:p>
    <w:p w14:paraId="6845BE5B" w14:textId="77777777" w:rsidR="00623BD9" w:rsidRDefault="00623BD9" w:rsidP="00C008BA">
      <w:pPr>
        <w:pStyle w:val="Sansinterligne"/>
        <w:rPr>
          <w:rFonts w:ascii="Arial" w:hAnsi="Arial" w:cs="Arial"/>
        </w:rPr>
      </w:pPr>
    </w:p>
    <w:p w14:paraId="0620BF77" w14:textId="77777777" w:rsidR="00623BD9" w:rsidRDefault="00623BD9" w:rsidP="00C008BA">
      <w:pPr>
        <w:pStyle w:val="Sansinterligne"/>
        <w:rPr>
          <w:rFonts w:ascii="Arial" w:hAnsi="Arial" w:cs="Arial"/>
        </w:rPr>
      </w:pPr>
    </w:p>
    <w:p w14:paraId="796DA457" w14:textId="77777777" w:rsidR="00623BD9" w:rsidRDefault="00623BD9" w:rsidP="00C008BA">
      <w:pPr>
        <w:pStyle w:val="Sansinterligne"/>
        <w:rPr>
          <w:rFonts w:ascii="Arial" w:hAnsi="Arial" w:cs="Arial"/>
        </w:rPr>
      </w:pPr>
    </w:p>
    <w:p w14:paraId="736EFEFB" w14:textId="77777777" w:rsidR="00623BD9" w:rsidRDefault="00623BD9" w:rsidP="00C008BA">
      <w:pPr>
        <w:pStyle w:val="Sansinterligne"/>
        <w:rPr>
          <w:rFonts w:ascii="Arial" w:hAnsi="Arial" w:cs="Arial"/>
        </w:rPr>
      </w:pPr>
    </w:p>
    <w:p w14:paraId="153321D2" w14:textId="77777777" w:rsidR="00623BD9" w:rsidRDefault="00623BD9" w:rsidP="00C008BA">
      <w:pPr>
        <w:pStyle w:val="Sansinterligne"/>
        <w:rPr>
          <w:rFonts w:ascii="Arial" w:hAnsi="Arial" w:cs="Arial"/>
        </w:rPr>
      </w:pPr>
    </w:p>
    <w:p w14:paraId="0AA6E990" w14:textId="77777777" w:rsidR="00623BD9" w:rsidRDefault="00623BD9" w:rsidP="00C008BA">
      <w:pPr>
        <w:pStyle w:val="Sansinterligne"/>
        <w:rPr>
          <w:rFonts w:ascii="Arial" w:hAnsi="Arial" w:cs="Arial"/>
        </w:rPr>
      </w:pPr>
    </w:p>
    <w:p w14:paraId="7A57BD45" w14:textId="77777777" w:rsidR="00623BD9" w:rsidRDefault="00623BD9" w:rsidP="00C008BA">
      <w:pPr>
        <w:pStyle w:val="Sansinterligne"/>
        <w:rPr>
          <w:rFonts w:ascii="Arial" w:hAnsi="Arial" w:cs="Arial"/>
        </w:rPr>
      </w:pPr>
    </w:p>
    <w:p w14:paraId="48FDABF7" w14:textId="405AE6DF" w:rsidR="00C008BA" w:rsidRPr="00C008BA" w:rsidRDefault="00C008BA" w:rsidP="00C008BA">
      <w:pPr>
        <w:pStyle w:val="Sansinterligne"/>
        <w:rPr>
          <w:rFonts w:ascii="Arial" w:hAnsi="Arial" w:cs="Arial"/>
        </w:rPr>
      </w:pPr>
      <w:r w:rsidRPr="00C008BA">
        <w:rPr>
          <w:rFonts w:ascii="Arial" w:hAnsi="Arial" w:cs="Arial"/>
        </w:rPr>
        <w:br/>
      </w:r>
    </w:p>
    <w:p w14:paraId="46BAF8E6" w14:textId="601BF283" w:rsidR="00C008BA" w:rsidRPr="00693547" w:rsidRDefault="00C008BA" w:rsidP="00623BD9">
      <w:pPr>
        <w:pStyle w:val="Sansinterligne"/>
        <w:jc w:val="both"/>
        <w:rPr>
          <w:rFonts w:ascii="Arial" w:hAnsi="Arial" w:cs="Arial"/>
          <w:sz w:val="20"/>
          <w:szCs w:val="20"/>
        </w:rPr>
      </w:pPr>
      <w:r w:rsidRPr="00693547">
        <w:rPr>
          <w:rFonts w:ascii="Arial" w:hAnsi="Arial" w:cs="Arial"/>
          <w:i/>
          <w:iCs/>
          <w:sz w:val="20"/>
          <w:szCs w:val="20"/>
        </w:rPr>
        <w:t xml:space="preserve">La présente délibération sera publiée sur le site internet de la Commune et transmise à Monsieur le </w:t>
      </w:r>
      <w:proofErr w:type="gramStart"/>
      <w:r w:rsidRPr="00693547">
        <w:rPr>
          <w:rFonts w:ascii="Arial" w:hAnsi="Arial" w:cs="Arial"/>
          <w:i/>
          <w:iCs/>
          <w:sz w:val="20"/>
          <w:szCs w:val="20"/>
        </w:rPr>
        <w:t>Préfet</w:t>
      </w:r>
      <w:proofErr w:type="gramEnd"/>
      <w:r w:rsidRPr="00693547">
        <w:rPr>
          <w:rFonts w:ascii="Arial" w:hAnsi="Arial" w:cs="Arial"/>
          <w:i/>
          <w:iCs/>
          <w:sz w:val="20"/>
          <w:szCs w:val="20"/>
        </w:rPr>
        <w:t xml:space="preserve"> d</w:t>
      </w:r>
      <w:r w:rsidR="00623BD9" w:rsidRPr="00693547">
        <w:rPr>
          <w:rFonts w:ascii="Arial" w:hAnsi="Arial" w:cs="Arial"/>
          <w:i/>
          <w:iCs/>
          <w:sz w:val="20"/>
          <w:szCs w:val="20"/>
        </w:rPr>
        <w:t>u Gard</w:t>
      </w:r>
      <w:r w:rsidRPr="00693547">
        <w:rPr>
          <w:rFonts w:ascii="Arial" w:hAnsi="Arial" w:cs="Arial"/>
          <w:i/>
          <w:iCs/>
          <w:sz w:val="20"/>
          <w:szCs w:val="20"/>
        </w:rPr>
        <w:t xml:space="preserve">. La présente délibération peut faire l’objet d’un recours pour excès de pouvoir devant le Tribunal administratif de </w:t>
      </w:r>
      <w:r w:rsidR="00693547" w:rsidRPr="00693547">
        <w:rPr>
          <w:rFonts w:ascii="Arial" w:hAnsi="Arial" w:cs="Arial"/>
          <w:i/>
          <w:iCs/>
          <w:sz w:val="20"/>
          <w:szCs w:val="20"/>
        </w:rPr>
        <w:t>Nîmes</w:t>
      </w:r>
      <w:r w:rsidRPr="00693547">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5" w:history="1">
        <w:r w:rsidRPr="00693547">
          <w:rPr>
            <w:rStyle w:val="Lienhypertexte"/>
            <w:rFonts w:ascii="Arial" w:hAnsi="Arial" w:cs="Arial"/>
            <w:i/>
            <w:iCs/>
            <w:sz w:val="20"/>
            <w:szCs w:val="20"/>
          </w:rPr>
          <w:t>www.telerecours.fr</w:t>
        </w:r>
      </w:hyperlink>
      <w:r w:rsidRPr="00693547">
        <w:rPr>
          <w:rFonts w:ascii="Arial" w:hAnsi="Arial" w:cs="Arial"/>
          <w:i/>
          <w:iCs/>
          <w:sz w:val="20"/>
          <w:szCs w:val="20"/>
        </w:rPr>
        <w:t>.</w:t>
      </w:r>
    </w:p>
    <w:p w14:paraId="0C17E2A6" w14:textId="77777777" w:rsidR="005A2FEE" w:rsidRDefault="005A2FEE"/>
    <w:sectPr w:rsidR="005A2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6C27"/>
    <w:multiLevelType w:val="hybridMultilevel"/>
    <w:tmpl w:val="E30A8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140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1003CB"/>
    <w:rsid w:val="001B4601"/>
    <w:rsid w:val="002204BA"/>
    <w:rsid w:val="002D1404"/>
    <w:rsid w:val="003B673C"/>
    <w:rsid w:val="004B37E1"/>
    <w:rsid w:val="005A2FEE"/>
    <w:rsid w:val="00623BD9"/>
    <w:rsid w:val="00624F4D"/>
    <w:rsid w:val="00663C6C"/>
    <w:rsid w:val="00693547"/>
    <w:rsid w:val="007A77B2"/>
    <w:rsid w:val="0085086D"/>
    <w:rsid w:val="008569C4"/>
    <w:rsid w:val="00A65480"/>
    <w:rsid w:val="00B0149F"/>
    <w:rsid w:val="00C008BA"/>
    <w:rsid w:val="00C03F05"/>
    <w:rsid w:val="00C0431F"/>
    <w:rsid w:val="00CE40F5"/>
    <w:rsid w:val="00CF065A"/>
    <w:rsid w:val="00CF5E30"/>
    <w:rsid w:val="00D72E28"/>
    <w:rsid w:val="00D942EB"/>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11</cp:revision>
  <dcterms:created xsi:type="dcterms:W3CDTF">2026-01-14T12:56:00Z</dcterms:created>
  <dcterms:modified xsi:type="dcterms:W3CDTF">2026-03-11T13:37:00Z</dcterms:modified>
</cp:coreProperties>
</file>